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AB3DCD" w:rsidRDefault="00202CBB" w:rsidP="00E67FA0">
      <w:pPr>
        <w:jc w:val="center"/>
        <w:rPr>
          <w:rFonts w:ascii="方正小标宋简体" w:eastAsia="方正小标宋简体" w:hAnsi="宋体" w:cs="宋体"/>
          <w:b/>
          <w:bCs/>
          <w:color w:val="000000"/>
          <w:sz w:val="28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 w:val="28"/>
          <w:szCs w:val="36"/>
        </w:rPr>
        <w:t xml:space="preserve"> </w:t>
      </w:r>
      <w:r w:rsidR="00C42BE9" w:rsidRPr="00AB3DCD">
        <w:rPr>
          <w:rFonts w:ascii="方正小标宋简体" w:eastAsia="方正小标宋简体" w:hAnsi="宋体" w:cs="宋体" w:hint="eastAsia"/>
          <w:b/>
          <w:bCs/>
          <w:color w:val="000000"/>
          <w:sz w:val="28"/>
          <w:szCs w:val="36"/>
        </w:rPr>
        <w:t>皖西学院档案工作考核</w:t>
      </w:r>
      <w:r w:rsidR="00193225">
        <w:rPr>
          <w:rFonts w:ascii="方正小标宋简体" w:eastAsia="方正小标宋简体" w:hAnsi="宋体" w:cs="宋体" w:hint="eastAsia"/>
          <w:b/>
          <w:bCs/>
          <w:color w:val="000000"/>
          <w:sz w:val="28"/>
          <w:szCs w:val="36"/>
        </w:rPr>
        <w:t>评分</w:t>
      </w:r>
      <w:bookmarkStart w:id="0" w:name="_GoBack"/>
      <w:bookmarkEnd w:id="0"/>
      <w:r w:rsidR="00C42BE9" w:rsidRPr="00AB3DCD">
        <w:rPr>
          <w:rFonts w:ascii="方正小标宋简体" w:eastAsia="方正小标宋简体" w:hAnsi="宋体" w:cs="宋体" w:hint="eastAsia"/>
          <w:b/>
          <w:bCs/>
          <w:color w:val="000000"/>
          <w:sz w:val="28"/>
          <w:szCs w:val="36"/>
        </w:rPr>
        <w:t>表</w:t>
      </w:r>
    </w:p>
    <w:p w:rsidR="00C42BE9" w:rsidRPr="00976DFF" w:rsidRDefault="00C42BE9" w:rsidP="00E67FA0">
      <w:pPr>
        <w:rPr>
          <w:rFonts w:ascii="宋体" w:hAnsi="宋体" w:cs="宋体"/>
          <w:b/>
          <w:color w:val="000000"/>
          <w:lang w:val="fr-FR"/>
        </w:rPr>
      </w:pPr>
      <w:r w:rsidRPr="00976DFF">
        <w:rPr>
          <w:rFonts w:ascii="宋体" w:hAnsi="宋体" w:cs="宋体" w:hint="eastAsia"/>
          <w:b/>
          <w:color w:val="000000"/>
        </w:rPr>
        <w:t>部门（盖章）：</w:t>
      </w:r>
      <w:r w:rsidR="00565B34" w:rsidRPr="00976DFF">
        <w:rPr>
          <w:rFonts w:ascii="宋体" w:hAnsi="宋体" w:cs="宋体" w:hint="eastAsia"/>
          <w:b/>
          <w:color w:val="000000"/>
          <w:lang w:val="fr-FR"/>
        </w:rPr>
        <w:t xml:space="preserve"> </w:t>
      </w:r>
      <w:r w:rsidR="00E67FA0">
        <w:rPr>
          <w:rFonts w:ascii="宋体" w:hAnsi="宋体" w:cs="宋体"/>
          <w:b/>
          <w:color w:val="000000"/>
          <w:lang w:val="fr-FR"/>
        </w:rPr>
        <w:t xml:space="preserve">                                       </w:t>
      </w:r>
      <w:r w:rsidR="00202CBB">
        <w:rPr>
          <w:rFonts w:ascii="宋体" w:hAnsi="宋体" w:cs="宋体" w:hint="eastAsia"/>
          <w:b/>
          <w:color w:val="000000"/>
          <w:lang w:val="fr-FR"/>
        </w:rPr>
        <w:t xml:space="preserve"> </w:t>
      </w:r>
      <w:r w:rsidR="00202CBB">
        <w:rPr>
          <w:rFonts w:ascii="宋体" w:hAnsi="宋体" w:cs="宋体" w:hint="eastAsia"/>
          <w:b/>
          <w:color w:val="000000"/>
          <w:lang w:val="fr-FR"/>
        </w:rPr>
        <w:t>年度：</w:t>
      </w:r>
    </w:p>
    <w:tbl>
      <w:tblPr>
        <w:tblStyle w:val="a5"/>
        <w:tblW w:w="565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4114"/>
        <w:gridCol w:w="3544"/>
        <w:gridCol w:w="567"/>
        <w:gridCol w:w="567"/>
      </w:tblGrid>
      <w:tr w:rsidR="00C04019" w:rsidRPr="00976DFF" w:rsidTr="00C04019">
        <w:tc>
          <w:tcPr>
            <w:tcW w:w="440" w:type="pct"/>
            <w:vAlign w:val="center"/>
          </w:tcPr>
          <w:p w:rsidR="00976DFF" w:rsidRPr="00976DFF" w:rsidRDefault="00976DFF" w:rsidP="00C04019">
            <w:pPr>
              <w:spacing w:line="320" w:lineRule="exact"/>
              <w:jc w:val="center"/>
              <w:rPr>
                <w:rFonts w:ascii="宋体" w:hAnsi="宋体" w:cs="宋体"/>
                <w:b/>
                <w:caps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2134" w:type="pct"/>
            <w:vAlign w:val="center"/>
          </w:tcPr>
          <w:p w:rsidR="00976DFF" w:rsidRPr="00976DFF" w:rsidRDefault="00976DFF" w:rsidP="00976DFF">
            <w:pPr>
              <w:spacing w:line="320" w:lineRule="exact"/>
              <w:jc w:val="center"/>
              <w:rPr>
                <w:rFonts w:ascii="宋体" w:hAnsi="宋体" w:cs="宋体"/>
                <w:b/>
                <w:caps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>考核内容</w:t>
            </w:r>
          </w:p>
        </w:tc>
        <w:tc>
          <w:tcPr>
            <w:tcW w:w="1838" w:type="pct"/>
            <w:vAlign w:val="center"/>
          </w:tcPr>
          <w:p w:rsidR="00976DFF" w:rsidRPr="00976DFF" w:rsidRDefault="00976DFF" w:rsidP="00565B34">
            <w:pPr>
              <w:spacing w:line="320" w:lineRule="exact"/>
              <w:jc w:val="center"/>
              <w:rPr>
                <w:rFonts w:ascii="宋体" w:hAnsi="宋体" w:cs="宋体"/>
                <w:b/>
                <w:caps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>评</w:t>
            </w: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 xml:space="preserve"> </w:t>
            </w: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>分</w:t>
            </w: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 xml:space="preserve"> </w:t>
            </w: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>标</w:t>
            </w: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 xml:space="preserve"> </w:t>
            </w: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>准</w:t>
            </w:r>
          </w:p>
        </w:tc>
        <w:tc>
          <w:tcPr>
            <w:tcW w:w="294" w:type="pct"/>
            <w:vAlign w:val="center"/>
          </w:tcPr>
          <w:p w:rsidR="00976DFF" w:rsidRPr="00976DFF" w:rsidRDefault="00976DFF" w:rsidP="00C04019">
            <w:pPr>
              <w:spacing w:line="320" w:lineRule="exact"/>
              <w:jc w:val="center"/>
              <w:rPr>
                <w:rFonts w:ascii="宋体" w:hAnsi="宋体" w:cs="宋体"/>
                <w:b/>
                <w:caps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>自评</w:t>
            </w:r>
          </w:p>
        </w:tc>
        <w:tc>
          <w:tcPr>
            <w:tcW w:w="294" w:type="pct"/>
            <w:vAlign w:val="center"/>
          </w:tcPr>
          <w:p w:rsidR="00976DFF" w:rsidRPr="00976DFF" w:rsidRDefault="00976DFF" w:rsidP="00C04019">
            <w:pPr>
              <w:spacing w:line="320" w:lineRule="exact"/>
              <w:jc w:val="center"/>
              <w:rPr>
                <w:rFonts w:ascii="宋体" w:hAnsi="宋体" w:cs="宋体"/>
                <w:b/>
                <w:caps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b/>
                <w:caps/>
                <w:color w:val="000000"/>
                <w:sz w:val="21"/>
                <w:szCs w:val="21"/>
              </w:rPr>
              <w:t>考核</w:t>
            </w:r>
          </w:p>
        </w:tc>
      </w:tr>
      <w:tr w:rsidR="00C04019" w:rsidRPr="00976DFF" w:rsidTr="00C04019">
        <w:tc>
          <w:tcPr>
            <w:tcW w:w="440" w:type="pct"/>
            <w:vMerge w:val="restart"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组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织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领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导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（</w:t>
            </w:r>
            <w:r w:rsidRPr="00976DFF">
              <w:rPr>
                <w:rFonts w:hint="eastAsia"/>
                <w:b/>
                <w:sz w:val="21"/>
                <w:szCs w:val="21"/>
              </w:rPr>
              <w:t>0.3</w:t>
            </w:r>
            <w:r w:rsidRPr="00976DFF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213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部门有负责人分管档案工作，抓好部门档案宣传工作；积极支持兼职档案员参加档案部门召开的会议和业务活动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（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0.1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分）</w:t>
            </w:r>
          </w:p>
        </w:tc>
        <w:tc>
          <w:tcPr>
            <w:tcW w:w="1838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无分管领导、未做过宣传，未参加档案工作会议和业务活动次数酌情扣分，从不参加会议培训的不得分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04019" w:rsidRPr="00976DFF" w:rsidTr="00C04019">
        <w:trPr>
          <w:trHeight w:val="868"/>
        </w:trPr>
        <w:tc>
          <w:tcPr>
            <w:tcW w:w="440" w:type="pct"/>
            <w:vMerge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4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把档案工作纳入部门工作计划、规划，纳入管理制度，纳入有关人员职责范围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；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在布置、检查、总结、验收部门各项工作时，同时布置、检查、总结、验收档案工作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（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0.1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分）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1838" w:type="pct"/>
            <w:vAlign w:val="center"/>
          </w:tcPr>
          <w:p w:rsidR="00976DFF" w:rsidRPr="00976DFF" w:rsidRDefault="00976DFF" w:rsidP="00C04019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未纳入工作计划</w:t>
            </w:r>
            <w:r w:rsidR="00C04019">
              <w:rPr>
                <w:rFonts w:ascii="宋体" w:hAnsi="宋体" w:cs="宋体" w:hint="eastAsia"/>
                <w:color w:val="000000"/>
                <w:sz w:val="21"/>
                <w:szCs w:val="21"/>
              </w:rPr>
              <w:t>、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规划、管理制度</w:t>
            </w:r>
            <w:r w:rsidR="00C04019">
              <w:rPr>
                <w:rFonts w:ascii="宋体" w:hAnsi="宋体" w:cs="宋体" w:hint="eastAsia"/>
                <w:color w:val="000000"/>
                <w:sz w:val="21"/>
                <w:szCs w:val="21"/>
              </w:rPr>
              <w:t>及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有关人员职责范围；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 xml:space="preserve"> 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在布置、检查、总结、验收工作时，未考虑档案工作</w:t>
            </w:r>
            <w:r w:rsidR="00AB3DCD"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酌情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扣</w:t>
            </w:r>
            <w:r w:rsidR="00C04019"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04019" w:rsidRPr="00976DFF" w:rsidTr="00C04019">
        <w:trPr>
          <w:trHeight w:val="785"/>
        </w:trPr>
        <w:tc>
          <w:tcPr>
            <w:tcW w:w="440" w:type="pct"/>
            <w:vMerge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4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配备兼职档案员，帮助其解决实际困难，并保证有足够的档案工作时间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；及时更新上报分管领导和兼职档案人员变动情况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（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0.1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分）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1838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未配备兼职档案员，有实际困难未解决，兼职档案员无时间整理档案，未上报人员变动情况</w:t>
            </w:r>
            <w:r w:rsidR="00AB3DCD"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酌情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扣分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04019" w:rsidRPr="00976DFF" w:rsidTr="00C04019">
        <w:tc>
          <w:tcPr>
            <w:tcW w:w="440" w:type="pct"/>
            <w:vMerge w:val="restart"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立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卷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归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proofErr w:type="gramStart"/>
            <w:r w:rsidRPr="00976DFF">
              <w:rPr>
                <w:rFonts w:hint="eastAsia"/>
                <w:b/>
                <w:sz w:val="21"/>
                <w:szCs w:val="21"/>
              </w:rPr>
              <w:t>档</w:t>
            </w:r>
            <w:proofErr w:type="gramEnd"/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（预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立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卷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  <w:r w:rsidRPr="00976DFF">
              <w:rPr>
                <w:rFonts w:hint="eastAsia"/>
                <w:b/>
                <w:sz w:val="21"/>
                <w:szCs w:val="21"/>
              </w:rPr>
              <w:t>0.6</w:t>
            </w:r>
            <w:r w:rsidRPr="00976DFF">
              <w:rPr>
                <w:rFonts w:hint="eastAsia"/>
                <w:b/>
                <w:sz w:val="21"/>
                <w:szCs w:val="21"/>
              </w:rPr>
              <w:t>）</w:t>
            </w:r>
          </w:p>
        </w:tc>
        <w:tc>
          <w:tcPr>
            <w:tcW w:w="2134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坚持部门收、发文登记和借阅登记制度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 xml:space="preserve"> 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（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0.1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分）</w:t>
            </w:r>
          </w:p>
        </w:tc>
        <w:tc>
          <w:tcPr>
            <w:tcW w:w="1838" w:type="pct"/>
            <w:vAlign w:val="center"/>
          </w:tcPr>
          <w:p w:rsidR="00976DFF" w:rsidRPr="00976DFF" w:rsidRDefault="00AB3DCD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无收、发文登记，无借阅登记分别</w:t>
            </w:r>
            <w:r w:rsidR="00976DFF"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扣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0.05</w:t>
            </w:r>
            <w:r w:rsidR="00C04019"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04019" w:rsidRPr="00976DFF" w:rsidTr="00C04019">
        <w:tc>
          <w:tcPr>
            <w:tcW w:w="440" w:type="pct"/>
            <w:vMerge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4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文件材料有安全、固定的存放地点和装具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（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0.1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分）</w:t>
            </w:r>
          </w:p>
        </w:tc>
        <w:tc>
          <w:tcPr>
            <w:tcW w:w="1838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无安全、固定存放地点扣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0.05</w:t>
            </w:r>
            <w:r w:rsidR="00C04019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分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，无装具扣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0.05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04019" w:rsidRPr="00976DFF" w:rsidTr="00C04019">
        <w:tc>
          <w:tcPr>
            <w:tcW w:w="440" w:type="pct"/>
            <w:vMerge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4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文件材料分类合理、利用方便（如请示、批复放一起，正件、附件放一起，正文、底稿放一起）</w:t>
            </w:r>
            <w:r w:rsidR="00AB3DCD"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不同类别的材料分开存放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（</w:t>
            </w:r>
            <w:r w:rsidR="00E36EAD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0.2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  <w:lang w:val="fr-FR"/>
              </w:rPr>
              <w:t>分）</w:t>
            </w:r>
          </w:p>
        </w:tc>
        <w:tc>
          <w:tcPr>
            <w:tcW w:w="1838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分类不准确或未分类扣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0.05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04019" w:rsidRPr="00976DFF" w:rsidTr="00C04019">
        <w:tc>
          <w:tcPr>
            <w:tcW w:w="440" w:type="pct"/>
            <w:vMerge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4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归档文件材料收集齐全、完整（依据《皖西学院文件材料归档范围与保管期限表》），在收集纸质文字材料的同时，注意收集声像和实物档案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（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0.2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838" w:type="pct"/>
            <w:vAlign w:val="center"/>
          </w:tcPr>
          <w:p w:rsidR="00976DFF" w:rsidRPr="00B57426" w:rsidRDefault="00976DFF" w:rsidP="00C04019">
            <w:pPr>
              <w:rPr>
                <w:rFonts w:ascii="宋体" w:hAnsi="宋体" w:cs="宋体"/>
                <w:color w:val="000000"/>
                <w:sz w:val="18"/>
                <w:szCs w:val="18"/>
                <w:lang w:val="fr-FR"/>
              </w:rPr>
            </w:pPr>
            <w:r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应归档材料未归的，发现</w:t>
            </w:r>
            <w:r w:rsidR="00C04019"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份扣</w:t>
            </w:r>
            <w:r w:rsidRPr="00B57426">
              <w:rPr>
                <w:rFonts w:ascii="宋体" w:hAnsi="宋体" w:cs="宋体" w:hint="eastAsia"/>
                <w:color w:val="000000"/>
                <w:sz w:val="18"/>
                <w:szCs w:val="18"/>
                <w:lang w:val="fr-FR"/>
              </w:rPr>
              <w:t>0.05</w:t>
            </w:r>
            <w:r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分，超过</w:t>
            </w:r>
            <w:r w:rsidR="00C04019"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份不得分，声像和实物应归档的载体收集不全或未收集移交的扣</w:t>
            </w:r>
            <w:r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0.1</w:t>
            </w:r>
            <w:r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或全扣</w:t>
            </w:r>
            <w:r w:rsidR="00AB3DCD"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查看移交目录</w:t>
            </w:r>
            <w:r w:rsidR="00AB3DCD" w:rsidRPr="00B57426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 w:rsidRPr="00B57426">
              <w:rPr>
                <w:rFonts w:ascii="宋体" w:hAnsi="宋体" w:cs="宋体" w:hint="eastAsia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04019" w:rsidRPr="00976DFF" w:rsidTr="00C04019">
        <w:tc>
          <w:tcPr>
            <w:tcW w:w="440" w:type="pct"/>
            <w:vMerge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4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按规定时间完成年度立卷归档工作；移交表填写完整，立卷人签名，部门领导审核并签名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（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0.1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838" w:type="pct"/>
            <w:vAlign w:val="center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  <w:lang w:val="fr-FR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按规定移交时间为准，无故逾期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2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周内扣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0.05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分，逾期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1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月以上不得分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(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特别是基建项目、重大科研课题和全校性重大活动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)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>；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立卷人未签名，领导未审核签名扣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0.05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分</w:t>
            </w: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C04019" w:rsidRPr="00976DFF" w:rsidTr="00C04019">
        <w:tc>
          <w:tcPr>
            <w:tcW w:w="440" w:type="pct"/>
          </w:tcPr>
          <w:p w:rsidR="00976DFF" w:rsidRPr="00976DFF" w:rsidRDefault="00976DFF" w:rsidP="00565B34">
            <w:pPr>
              <w:spacing w:line="220" w:lineRule="atLeast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年鉴</w:t>
            </w:r>
          </w:p>
          <w:p w:rsidR="00976DFF" w:rsidRPr="00976DFF" w:rsidRDefault="00976DFF" w:rsidP="00565B34">
            <w:pPr>
              <w:spacing w:line="220" w:lineRule="atLeast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撰稿</w:t>
            </w:r>
            <w:r w:rsidRPr="00C04019">
              <w:rPr>
                <w:rFonts w:ascii="宋体" w:hAnsi="宋体" w:cs="宋体" w:hint="eastAsia"/>
                <w:b/>
                <w:color w:val="000000"/>
                <w:sz w:val="16"/>
                <w:szCs w:val="21"/>
              </w:rPr>
              <w:t>（</w:t>
            </w:r>
            <w:r w:rsidRPr="00C04019">
              <w:rPr>
                <w:rFonts w:ascii="宋体" w:hAnsi="宋体" w:cs="宋体" w:hint="eastAsia"/>
                <w:b/>
                <w:color w:val="000000"/>
                <w:sz w:val="16"/>
                <w:szCs w:val="21"/>
              </w:rPr>
              <w:t>0.1</w:t>
            </w:r>
            <w:r w:rsidRPr="00C04019">
              <w:rPr>
                <w:rFonts w:ascii="宋体" w:hAnsi="宋体" w:cs="宋体" w:hint="eastAsia"/>
                <w:b/>
                <w:color w:val="000000"/>
                <w:sz w:val="16"/>
                <w:szCs w:val="21"/>
              </w:rPr>
              <w:t>）</w:t>
            </w:r>
          </w:p>
        </w:tc>
        <w:tc>
          <w:tcPr>
            <w:tcW w:w="2134" w:type="pct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撰稿质量符合要求，以通知要求为依据，按规定时间上报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（</w:t>
            </w:r>
            <w:r w:rsidR="00E36EAD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0.1</w:t>
            </w:r>
            <w:r w:rsidRPr="00976DF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1838" w:type="pct"/>
          </w:tcPr>
          <w:p w:rsidR="00976DFF" w:rsidRPr="00976DFF" w:rsidRDefault="00976DFF" w:rsidP="00976DFF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976DFF">
              <w:rPr>
                <w:rFonts w:ascii="宋体" w:hAnsi="宋体" w:cs="宋体" w:hint="eastAsia"/>
                <w:color w:val="000000"/>
                <w:sz w:val="21"/>
                <w:szCs w:val="21"/>
              </w:rPr>
              <w:t>质量不高，未按时间完成，酌情扣分</w:t>
            </w:r>
          </w:p>
        </w:tc>
        <w:tc>
          <w:tcPr>
            <w:tcW w:w="294" w:type="pct"/>
          </w:tcPr>
          <w:p w:rsidR="00976DFF" w:rsidRPr="00976DFF" w:rsidRDefault="00976DFF" w:rsidP="00976DFF">
            <w:pPr>
              <w:rPr>
                <w:sz w:val="21"/>
                <w:szCs w:val="21"/>
              </w:rPr>
            </w:pPr>
          </w:p>
        </w:tc>
        <w:tc>
          <w:tcPr>
            <w:tcW w:w="294" w:type="pct"/>
          </w:tcPr>
          <w:p w:rsidR="00976DFF" w:rsidRPr="00976DFF" w:rsidRDefault="00976DFF" w:rsidP="00D31D50">
            <w:pPr>
              <w:spacing w:line="220" w:lineRule="atLeast"/>
              <w:rPr>
                <w:sz w:val="21"/>
                <w:szCs w:val="21"/>
              </w:rPr>
            </w:pPr>
          </w:p>
        </w:tc>
      </w:tr>
    </w:tbl>
    <w:p w:rsidR="000F7A55" w:rsidRPr="00E67FA0" w:rsidRDefault="00E67FA0" w:rsidP="00C04019">
      <w:pPr>
        <w:spacing w:line="220" w:lineRule="atLeast"/>
        <w:rPr>
          <w:sz w:val="24"/>
        </w:rPr>
      </w:pPr>
      <w:r w:rsidRPr="00E67FA0">
        <w:rPr>
          <w:rFonts w:hint="eastAsia"/>
          <w:sz w:val="24"/>
        </w:rPr>
        <w:t>兼职</w:t>
      </w:r>
      <w:r w:rsidRPr="00E67FA0">
        <w:rPr>
          <w:sz w:val="24"/>
        </w:rPr>
        <w:t>档案员</w:t>
      </w:r>
      <w:r w:rsidRPr="00E67FA0">
        <w:rPr>
          <w:rFonts w:hint="eastAsia"/>
          <w:sz w:val="24"/>
        </w:rPr>
        <w:t>签字</w:t>
      </w:r>
      <w:r w:rsidRPr="00E67FA0">
        <w:rPr>
          <w:sz w:val="24"/>
        </w:rPr>
        <w:t>：</w:t>
      </w:r>
      <w:r w:rsidRPr="00E67FA0">
        <w:rPr>
          <w:rFonts w:hint="eastAsia"/>
          <w:sz w:val="24"/>
        </w:rPr>
        <w:t xml:space="preserve">                                              </w:t>
      </w:r>
      <w:r w:rsidRPr="00E67FA0">
        <w:rPr>
          <w:rFonts w:hint="eastAsia"/>
          <w:sz w:val="24"/>
        </w:rPr>
        <w:t>分管</w:t>
      </w:r>
      <w:r w:rsidRPr="00E67FA0">
        <w:rPr>
          <w:sz w:val="24"/>
        </w:rPr>
        <w:t>领导签字：</w:t>
      </w:r>
    </w:p>
    <w:sectPr w:rsidR="000F7A55" w:rsidRPr="00E67FA0" w:rsidSect="00C0401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FF" w:rsidRDefault="006412FF" w:rsidP="00C42BE9">
      <w:pPr>
        <w:spacing w:after="0"/>
      </w:pPr>
      <w:r>
        <w:separator/>
      </w:r>
    </w:p>
  </w:endnote>
  <w:endnote w:type="continuationSeparator" w:id="0">
    <w:p w:rsidR="006412FF" w:rsidRDefault="006412FF" w:rsidP="00C42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FF" w:rsidRDefault="006412FF" w:rsidP="00C42BE9">
      <w:pPr>
        <w:spacing w:after="0"/>
      </w:pPr>
      <w:r>
        <w:separator/>
      </w:r>
    </w:p>
  </w:footnote>
  <w:footnote w:type="continuationSeparator" w:id="0">
    <w:p w:rsidR="006412FF" w:rsidRDefault="006412FF" w:rsidP="00C42B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F7A55"/>
    <w:rsid w:val="00193225"/>
    <w:rsid w:val="00202CBB"/>
    <w:rsid w:val="002273D1"/>
    <w:rsid w:val="00323B43"/>
    <w:rsid w:val="003D37D8"/>
    <w:rsid w:val="00426133"/>
    <w:rsid w:val="004358AB"/>
    <w:rsid w:val="004D2970"/>
    <w:rsid w:val="0051495E"/>
    <w:rsid w:val="00514D82"/>
    <w:rsid w:val="00565B34"/>
    <w:rsid w:val="00626EC7"/>
    <w:rsid w:val="006412FF"/>
    <w:rsid w:val="00670C80"/>
    <w:rsid w:val="006B1207"/>
    <w:rsid w:val="006E3221"/>
    <w:rsid w:val="008B7726"/>
    <w:rsid w:val="008E721B"/>
    <w:rsid w:val="00976DFF"/>
    <w:rsid w:val="00A209FC"/>
    <w:rsid w:val="00A66FBA"/>
    <w:rsid w:val="00A80DE9"/>
    <w:rsid w:val="00AB3DCD"/>
    <w:rsid w:val="00B57426"/>
    <w:rsid w:val="00B57D82"/>
    <w:rsid w:val="00BC3BBE"/>
    <w:rsid w:val="00C04019"/>
    <w:rsid w:val="00C23AD0"/>
    <w:rsid w:val="00C27AB1"/>
    <w:rsid w:val="00C42BE9"/>
    <w:rsid w:val="00C60496"/>
    <w:rsid w:val="00CA4A10"/>
    <w:rsid w:val="00D31D50"/>
    <w:rsid w:val="00E36EAD"/>
    <w:rsid w:val="00E67FA0"/>
    <w:rsid w:val="00EF27C9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B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B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B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BE9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4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67FA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7FA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</cp:revision>
  <cp:lastPrinted>2019-12-23T06:37:00Z</cp:lastPrinted>
  <dcterms:created xsi:type="dcterms:W3CDTF">2008-09-11T17:20:00Z</dcterms:created>
  <dcterms:modified xsi:type="dcterms:W3CDTF">2021-04-12T08:28:00Z</dcterms:modified>
</cp:coreProperties>
</file>